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1"/>
        <w:jc w:val="center"/>
        <w:rPr>
          <w:b/>
        </w:rPr>
      </w:pPr>
      <w:r>
        <w:rPr>
          <w:b/>
        </w:rPr>
        <w:t xml:space="preserve">ФИНАНСОВО-ЭКОНОМИЧЕСКОЕ ОБОСНОВАНИЕ</w:t>
      </w:r>
      <w:r>
        <w:rPr>
          <w:b/>
        </w:rPr>
      </w:r>
      <w:r>
        <w:rPr>
          <w:b/>
        </w:rPr>
      </w:r>
    </w:p>
    <w:p>
      <w:pPr>
        <w:pStyle w:val="871"/>
        <w:jc w:val="center"/>
        <w:rPr>
          <w:b/>
          <w:bCs/>
        </w:rPr>
      </w:pPr>
      <w:r>
        <w:rPr>
          <w:b/>
          <w:szCs w:val="28"/>
        </w:rPr>
        <w:t xml:space="preserve">к проекту закона Новосибирской области «</w:t>
      </w:r>
      <w:r>
        <w:rPr>
          <w:b/>
          <w:bCs/>
          <w:szCs w:val="28"/>
        </w:rPr>
        <w:t xml:space="preserve">О внесении изменений</w:t>
      </w:r>
      <w:r>
        <w:rPr>
          <w:b/>
          <w:bCs/>
          <w:szCs w:val="28"/>
        </w:rPr>
        <w:t xml:space="preserve"> в Закон Новосибирской области</w:t>
      </w:r>
      <w:r>
        <w:rPr>
          <w:b/>
          <w:szCs w:val="28"/>
        </w:rPr>
        <w:t xml:space="preserve"> «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Об Общественной палате Новосибирской области</w:t>
      </w:r>
      <w:r>
        <w:rPr>
          <w:b/>
          <w:szCs w:val="28"/>
        </w:rPr>
        <w:t xml:space="preserve">»</w:t>
      </w:r>
      <w:r>
        <w:rPr>
          <w:b/>
          <w:bCs/>
        </w:rPr>
      </w:r>
      <w:r>
        <w:rPr>
          <w:b/>
          <w:bCs/>
        </w:rPr>
      </w:r>
    </w:p>
    <w:p>
      <w:pPr>
        <w:pStyle w:val="871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71"/>
        <w:ind w:firstLine="709"/>
        <w:jc w:val="both"/>
        <w:rPr>
          <w:color w:val="000000"/>
          <w:szCs w:val="28"/>
        </w:rPr>
      </w:pPr>
      <w:r>
        <w:rPr>
          <w:rStyle w:val="889"/>
          <w:color w:val="000000"/>
          <w:szCs w:val="28"/>
        </w:rPr>
        <w:t xml:space="preserve">Принятие закона Новосибирской области «О внесении изменений в Закон Новосибирской области «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 Общественной палате Новосибирской области</w:t>
      </w:r>
      <w:r>
        <w:rPr>
          <w:rStyle w:val="889"/>
          <w:color w:val="000000"/>
          <w:szCs w:val="28"/>
        </w:rPr>
        <w:t xml:space="preserve">»</w:t>
      </w:r>
      <w:r>
        <w:rPr>
          <w:color w:val="000000"/>
          <w:szCs w:val="28"/>
        </w:rPr>
        <w:t xml:space="preserve"> </w:t>
      </w:r>
      <w:r>
        <w:rPr>
          <w:szCs w:val="28"/>
        </w:rPr>
        <w:t xml:space="preserve">(далее – закон) </w:t>
      </w:r>
      <w:r>
        <w:rPr>
          <w:color w:val="000000"/>
          <w:szCs w:val="28"/>
        </w:rPr>
        <w:t xml:space="preserve">потребует </w:t>
      </w:r>
      <w:r>
        <w:rPr>
          <w:szCs w:val="28"/>
        </w:rPr>
        <w:t xml:space="preserve">дополнительн</w:t>
      </w:r>
      <w:r>
        <w:rPr>
          <w:szCs w:val="28"/>
        </w:rPr>
        <w:t xml:space="preserve">ого финансирования</w:t>
      </w:r>
      <w:r>
        <w:rPr>
          <w:color w:val="000000"/>
          <w:szCs w:val="28"/>
        </w:rPr>
        <w:t xml:space="preserve"> из областного бюджета Новосибирской области</w:t>
      </w:r>
      <w:r>
        <w:rPr>
          <w:color w:val="000000"/>
          <w:szCs w:val="28"/>
        </w:rPr>
        <w:t xml:space="preserve">,</w:t>
      </w:r>
      <w:r>
        <w:rPr>
          <w:color w:val="000000"/>
          <w:szCs w:val="28"/>
        </w:rPr>
        <w:t xml:space="preserve"> начиная с 1 января 2027 года.</w:t>
      </w:r>
      <w:r>
        <w:rPr>
          <w:color w:val="000000"/>
          <w:szCs w:val="28"/>
        </w:rPr>
      </w:r>
      <w:r>
        <w:rPr>
          <w:color w:val="000000"/>
          <w:szCs w:val="28"/>
        </w:rPr>
      </w:r>
    </w:p>
    <w:p>
      <w:pPr>
        <w:pStyle w:val="871"/>
        <w:ind w:firstLine="708"/>
        <w:jc w:val="both"/>
        <w:rPr>
          <w:szCs w:val="28"/>
        </w:rPr>
      </w:pPr>
      <w:r>
        <w:rPr>
          <w:szCs w:val="28"/>
        </w:rPr>
        <w:t xml:space="preserve">Участник</w:t>
      </w:r>
      <w:r>
        <w:rPr>
          <w:szCs w:val="28"/>
        </w:rPr>
        <w:t xml:space="preserve">ом</w:t>
      </w:r>
      <w:r>
        <w:rPr>
          <w:szCs w:val="28"/>
        </w:rPr>
        <w:t xml:space="preserve"> реализации </w:t>
      </w:r>
      <w:r>
        <w:rPr>
          <w:szCs w:val="28"/>
        </w:rPr>
        <w:t xml:space="preserve">закона</w:t>
      </w:r>
      <w:r>
        <w:rPr>
          <w:szCs w:val="28"/>
        </w:rPr>
        <w:t xml:space="preserve"> </w:t>
      </w:r>
      <w:r>
        <w:rPr>
          <w:szCs w:val="28"/>
        </w:rPr>
        <w:t xml:space="preserve">явля</w:t>
      </w:r>
      <w:r>
        <w:rPr>
          <w:szCs w:val="28"/>
        </w:rPr>
        <w:t xml:space="preserve">ется министерство</w:t>
      </w:r>
      <w:r>
        <w:rPr>
          <w:szCs w:val="28"/>
        </w:rPr>
        <w:t xml:space="preserve"> </w:t>
      </w:r>
      <w:r>
        <w:rPr>
          <w:bCs/>
          <w:iCs/>
          <w:szCs w:val="28"/>
        </w:rPr>
        <w:t xml:space="preserve">региональной политики Новосибирской области (далее – министерство)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71"/>
        <w:ind w:firstLine="709"/>
        <w:jc w:val="both"/>
      </w:pPr>
      <w:r>
        <w:rPr>
          <w:bCs/>
          <w:iCs/>
          <w:szCs w:val="28"/>
        </w:rPr>
      </w:r>
      <w:r>
        <w:rPr>
          <w:szCs w:val="28"/>
        </w:rPr>
        <w:t xml:space="preserve">Финансирование </w:t>
      </w:r>
      <w:r>
        <w:rPr>
          <w:bCs/>
          <w:iCs/>
          <w:szCs w:val="28"/>
        </w:rPr>
        <w:t xml:space="preserve">мероприятий Общественной палаты Новосибирской области,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участие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членов Общественной палаты Новосибирской области во всероссийских, региональных и 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бластных мероприятиях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, </w:t>
      </w:r>
      <w:r>
        <w:rPr>
          <w:bCs/>
          <w:iCs/>
          <w:szCs w:val="28"/>
          <w:highlight w:val="none"/>
        </w:rPr>
        <w:t xml:space="preserve">осуществляются </w:t>
      </w:r>
      <w:r>
        <w:rPr>
          <w:szCs w:val="28"/>
          <w:highlight w:val="none"/>
        </w:rPr>
        <w:t xml:space="preserve">министерством</w:t>
      </w:r>
      <w:r>
        <w:rPr>
          <w:bCs/>
          <w:iCs/>
          <w:szCs w:val="28"/>
          <w:highlight w:val="none"/>
        </w:rPr>
        <w:t xml:space="preserve"> </w:t>
      </w:r>
      <w:r>
        <w:rPr>
          <w:bCs/>
          <w:iCs/>
          <w:szCs w:val="28"/>
          <w:highlight w:val="none"/>
        </w:rPr>
        <w:t xml:space="preserve">в рамках полномочи</w:t>
      </w:r>
      <w:r>
        <w:rPr>
          <w:bCs/>
          <w:iCs/>
          <w:szCs w:val="28"/>
          <w:highlight w:val="none"/>
        </w:rPr>
        <w:t xml:space="preserve">я </w:t>
      </w:r>
      <w:r>
        <w:rPr>
          <w:bCs/>
          <w:iCs/>
          <w:szCs w:val="28"/>
          <w:highlight w:val="none"/>
        </w:rPr>
        <w:t xml:space="preserve">: </w:t>
      </w:r>
      <w:r>
        <w:rPr>
          <w:bCs/>
          <w:iCs/>
          <w:szCs w:val="28"/>
          <w:highlight w:val="none"/>
        </w:rPr>
        <w:t xml:space="preserve">«</w:t>
      </w:r>
      <w:r>
        <w:rPr>
          <w:szCs w:val="28"/>
          <w:highlight w:val="none"/>
        </w:rPr>
        <w:t xml:space="preserve">Организация и обеспечение деятельности общественной палаты субъекта Российской Федерации</w:t>
      </w:r>
      <w:r>
        <w:rPr>
          <w:szCs w:val="28"/>
          <w:highlight w:val="none"/>
        </w:rPr>
        <w:t xml:space="preserve">»</w:t>
      </w:r>
      <w:r>
        <w:rPr>
          <w:szCs w:val="28"/>
          <w:highlight w:val="none"/>
        </w:rPr>
        <w:t xml:space="preserve"> </w:t>
      </w:r>
      <w:r>
        <w:rPr>
          <w:color w:val="000000"/>
          <w:szCs w:val="28"/>
          <w:highlight w:val="none"/>
        </w:rPr>
        <w:t xml:space="preserve">ко</w:t>
      </w:r>
      <w:r>
        <w:rPr>
          <w:color w:val="000000"/>
          <w:szCs w:val="28"/>
        </w:rPr>
        <w:t xml:space="preserve">мплекса процессных мероприятий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«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Государственная поддержка общественных инициатив, социально ориентированных некоммерческих организаций и развития институтов гражданского общества в Новосибирской области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» </w:t>
      </w:r>
      <w:r>
        <w:rPr>
          <w:szCs w:val="28"/>
        </w:rPr>
        <w:t xml:space="preserve">государственной программы Новосибирской области «Развитие институтов региональной политики и гражданского общества в Новосибирской области», утвержденной постановлением Правительства Новосибирской области от 26.12.2018 № 570-п</w:t>
      </w:r>
      <w:r>
        <w:rPr>
          <w:szCs w:val="28"/>
          <w:highlight w:val="none"/>
        </w:rPr>
        <w:t xml:space="preserve">. </w:t>
      </w:r>
      <w:r/>
      <w:r/>
    </w:p>
    <w:p>
      <w:pPr>
        <w:pStyle w:val="871"/>
        <w:ind w:firstLine="709"/>
        <w:jc w:val="both"/>
        <w:rPr>
          <w:highlight w:val="none"/>
        </w:rPr>
      </w:pPr>
      <w:r>
        <w:t xml:space="preserve">Исходя из данных, предоставленных </w:t>
      </w:r>
      <w:r>
        <w:rPr>
          <w:rFonts w:ascii="Times New Roman" w:hAnsi="Times New Roman" w:cs="Times New Roman"/>
          <w:sz w:val="28"/>
        </w:rPr>
        <w:t xml:space="preserve">Общественной наблюдательной комисси</w:t>
      </w:r>
      <w:r>
        <w:rPr>
          <w:rFonts w:ascii="Times New Roman" w:hAnsi="Times New Roman" w:cs="Times New Roman"/>
          <w:sz w:val="28"/>
        </w:rPr>
        <w:t xml:space="preserve">ей Новосибирской области,</w:t>
      </w:r>
      <w:r>
        <w:t xml:space="preserve"> </w:t>
      </w:r>
      <w:r>
        <w:t xml:space="preserve">за период 2024-2025 годов</w:t>
      </w:r>
      <w:r>
        <w:t xml:space="preserve"> </w:t>
      </w:r>
      <w:r>
        <w:t xml:space="preserve">члены </w:t>
      </w:r>
      <w:r>
        <w:rPr>
          <w:rFonts w:ascii="Times New Roman" w:hAnsi="Times New Roman" w:cs="Times New Roman"/>
          <w:b w:val="0"/>
          <w:bCs/>
          <w:sz w:val="28"/>
          <w:szCs w:val="28"/>
          <w:highlight w:val="none"/>
        </w:rPr>
        <w:t xml:space="preserve">Общественной наблюдательной комиссии Новосибирской области</w:t>
      </w:r>
      <w:r>
        <w:t xml:space="preserve"> (далее – члены ОНК, ОНК НСО) ежегодно посещают 11 мест принудительного содержания, в том числе </w:t>
      </w:r>
      <w:r>
        <w:t xml:space="preserve">изоляторы временного содерж</w:t>
      </w:r>
      <w:r>
        <w:rPr>
          <w:highlight w:val="none"/>
        </w:rPr>
        <w:t xml:space="preserve">ания ГУ МВД России по Новосибирской области</w:t>
      </w:r>
      <w:r>
        <w:rPr>
          <w:highlight w:val="none"/>
        </w:rPr>
        <w:t xml:space="preserve">, расположенные в Новосибирской области. </w:t>
      </w:r>
      <w:r>
        <w:rPr>
          <w:highlight w:val="none"/>
        </w:rPr>
        <w:t xml:space="preserve">Рассчитать количество командировок членов ОНК НСО не представляется возможным, так как </w:t>
      </w:r>
      <w:r>
        <w:rPr>
          <w:highlight w:val="none"/>
        </w:rPr>
        <w:t xml:space="preserve">количество посещений зависит от </w:t>
      </w:r>
      <w:r>
        <w:rPr>
          <w:rFonts w:ascii="Times New Roman" w:hAnsi="Times New Roman" w:eastAsia="Calibri" w:cs="Times New Roman"/>
          <w:sz w:val="28"/>
          <w:szCs w:val="28"/>
          <w:highlight w:val="none"/>
          <w:lang w:val="ru-RU" w:eastAsia="en-US" w:bidi="ar-SA"/>
        </w:rPr>
        <w:t xml:space="preserve">заявлений и жалоб лиц, находящихся в местах принудительного содержания; иных лиц, которым стало известно о нарушении прав лиц, находящихся в местах принудительного содержания</w:t>
      </w:r>
      <w:r>
        <w:rPr>
          <w:highlight w:val="none"/>
        </w:rPr>
        <w:t xml:space="preserve">. </w:t>
      </w:r>
      <w:r>
        <w:rPr>
          <w:rFonts w:ascii="Times New Roman" w:hAnsi="Times New Roman" w:eastAsia="Times New Roman" w:cs="Times New Roman"/>
          <w:color w:val="212121"/>
          <w:sz w:val="28"/>
          <w:highlight w:val="none"/>
        </w:rPr>
        <w:t xml:space="preserve">Р</w:t>
      </w:r>
      <w:r>
        <w:rPr>
          <w:rFonts w:ascii="Times New Roman" w:hAnsi="Times New Roman" w:eastAsia="Times New Roman" w:cs="Times New Roman"/>
          <w:color w:val="212121"/>
          <w:sz w:val="28"/>
          <w:highlight w:val="white"/>
        </w:rPr>
        <w:t xml:space="preserve">асчет затрат осуществлялся </w:t>
      </w:r>
      <w:r>
        <w:rPr>
          <w:rFonts w:ascii="Times New Roman" w:hAnsi="Times New Roman" w:eastAsia="Times New Roman" w:cs="Times New Roman"/>
          <w:color w:val="212121"/>
          <w:sz w:val="28"/>
          <w:highlight w:val="none"/>
        </w:rPr>
        <w:t xml:space="preserve">исходя из статистики посещений</w:t>
      </w:r>
      <w:r>
        <w:rPr>
          <w:sz w:val="28"/>
          <w:szCs w:val="28"/>
          <w:highlight w:val="none"/>
        </w:rPr>
        <w:t xml:space="preserve"> членами ОНК НСО </w:t>
      </w:r>
      <w:r>
        <w:rPr>
          <w:highlight w:val="none"/>
        </w:rPr>
        <w:t xml:space="preserve">мест принудительного содержания</w:t>
      </w:r>
      <w:r>
        <w:rPr>
          <w:highlight w:val="none"/>
        </w:rPr>
        <w:t xml:space="preserve">, расположенных в Новосибирской области (</w:t>
      </w:r>
      <w:r>
        <w:rPr>
          <w:highlight w:val="none"/>
        </w:rPr>
        <w:t xml:space="preserve">не менее 26 выездов в</w:t>
      </w:r>
      <w:r>
        <w:rPr>
          <w:highlight w:val="none"/>
        </w:rPr>
        <w:t xml:space="preserve"> год).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rPr>
          <w:highlight w:val="none"/>
        </w:rPr>
      </w:pPr>
      <w:r>
        <w:rPr>
          <w:highlight w:val="none"/>
        </w:rPr>
        <w:t xml:space="preserve">Объем средств на финансовое </w:t>
      </w:r>
      <w:r>
        <w:rPr>
          <w:highlight w:val="none"/>
        </w:rPr>
        <w:t xml:space="preserve">обеспечение </w:t>
      </w:r>
      <w:r>
        <w:rPr>
          <w:rFonts w:ascii="Times New Roman" w:hAnsi="Times New Roman" w:cs="Times New Roman"/>
          <w:b w:val="0"/>
          <w:bCs/>
          <w:sz w:val="28"/>
          <w:szCs w:val="28"/>
          <w:highlight w:val="none"/>
        </w:rPr>
        <w:t xml:space="preserve">возмещения расходов, связанных с осуществлением полномочий членов ОНК</w:t>
      </w:r>
      <w:r>
        <w:rPr>
          <w:szCs w:val="28"/>
          <w:highlight w:val="none"/>
        </w:rPr>
        <w:t xml:space="preserve">, на плановый период 2027- 2029 годов</w:t>
      </w:r>
      <w:r>
        <w:rPr>
          <w:szCs w:val="28"/>
          <w:highlight w:val="none"/>
        </w:rPr>
        <w:t xml:space="preserve"> </w:t>
      </w:r>
      <w:r>
        <w:rPr>
          <w:highlight w:val="none"/>
        </w:rPr>
        <w:t xml:space="preserve">состав</w:t>
      </w:r>
      <w:r>
        <w:rPr>
          <w:highlight w:val="none"/>
        </w:rPr>
        <w:t xml:space="preserve">и</w:t>
      </w:r>
      <w:r>
        <w:rPr>
          <w:highlight w:val="none"/>
        </w:rPr>
        <w:t xml:space="preserve">т </w:t>
      </w:r>
      <w:r>
        <w:rPr>
          <w:highlight w:val="none"/>
        </w:rPr>
        <w:t xml:space="preserve">1</w:t>
      </w:r>
      <w:r>
        <w:rPr>
          <w:highlight w:val="none"/>
        </w:rPr>
        <w:t xml:space="preserve"> </w:t>
      </w:r>
      <w:r>
        <w:rPr>
          <w:highlight w:val="none"/>
        </w:rPr>
        <w:t xml:space="preserve">544</w:t>
      </w:r>
      <w:r>
        <w:rPr>
          <w:highlight w:val="none"/>
        </w:rPr>
        <w:t xml:space="preserve">,</w:t>
      </w:r>
      <w:r>
        <w:rPr>
          <w:highlight w:val="none"/>
        </w:rPr>
        <w:t xml:space="preserve">22</w:t>
      </w:r>
      <w:r>
        <w:rPr>
          <w:highlight w:val="none"/>
        </w:rPr>
        <w:t xml:space="preserve"> тыс. рублей</w:t>
      </w:r>
      <w:r>
        <w:rPr>
          <w:highlight w:val="none"/>
        </w:rPr>
        <w:t xml:space="preserve">,</w:t>
      </w:r>
      <w:r>
        <w:rPr>
          <w:highlight w:val="none"/>
        </w:rPr>
        <w:t xml:space="preserve"> </w:t>
      </w:r>
      <w:r>
        <w:rPr>
          <w:highlight w:val="none"/>
        </w:rPr>
        <w:t xml:space="preserve">в том числе: </w:t>
      </w:r>
      <w:r>
        <w:rPr>
          <w:highlight w:val="none"/>
        </w:rPr>
        <w:t xml:space="preserve">202</w:t>
      </w:r>
      <w:r>
        <w:rPr>
          <w:highlight w:val="none"/>
        </w:rPr>
        <w:t xml:space="preserve">7 год – </w:t>
      </w:r>
      <w:r>
        <w:rPr>
          <w:highlight w:val="none"/>
        </w:rPr>
        <w:t xml:space="preserve">514</w:t>
      </w:r>
      <w:r>
        <w:rPr>
          <w:highlight w:val="none"/>
        </w:rPr>
        <w:t xml:space="preserve">,</w:t>
      </w:r>
      <w:r>
        <w:rPr>
          <w:highlight w:val="none"/>
        </w:rPr>
        <w:t xml:space="preserve">7</w:t>
      </w:r>
      <w:r>
        <w:rPr>
          <w:highlight w:val="none"/>
        </w:rPr>
        <w:t xml:space="preserve">4</w:t>
      </w:r>
      <w:r>
        <w:rPr>
          <w:highlight w:val="none"/>
        </w:rPr>
        <w:t xml:space="preserve"> тыс. рублей, </w:t>
      </w:r>
      <w:r>
        <w:rPr>
          <w:highlight w:val="none"/>
        </w:rPr>
        <w:t xml:space="preserve">2028</w:t>
      </w:r>
      <w:r>
        <w:rPr>
          <w:highlight w:val="none"/>
        </w:rPr>
        <w:t xml:space="preserve"> год – </w:t>
      </w:r>
      <w:r>
        <w:rPr>
          <w:highlight w:val="none"/>
        </w:rPr>
        <w:t xml:space="preserve">514</w:t>
      </w:r>
      <w:r>
        <w:rPr>
          <w:highlight w:val="none"/>
        </w:rPr>
        <w:t xml:space="preserve">,</w:t>
      </w:r>
      <w:r>
        <w:rPr>
          <w:highlight w:val="none"/>
        </w:rPr>
        <w:t xml:space="preserve">7</w:t>
      </w:r>
      <w:r>
        <w:rPr>
          <w:highlight w:val="none"/>
        </w:rPr>
        <w:t xml:space="preserve">4 </w:t>
      </w:r>
      <w:r>
        <w:rPr>
          <w:highlight w:val="none"/>
        </w:rPr>
        <w:t xml:space="preserve">тыс. рублей, </w:t>
      </w:r>
      <w:r>
        <w:rPr>
          <w:highlight w:val="none"/>
        </w:rPr>
        <w:t xml:space="preserve">2029</w:t>
      </w:r>
      <w:r>
        <w:rPr>
          <w:highlight w:val="none"/>
        </w:rPr>
        <w:t xml:space="preserve"> год – </w:t>
      </w:r>
      <w:r>
        <w:rPr>
          <w:highlight w:val="none"/>
        </w:rPr>
        <w:t xml:space="preserve">514</w:t>
      </w:r>
      <w:r>
        <w:rPr>
          <w:highlight w:val="none"/>
        </w:rPr>
        <w:t xml:space="preserve">,</w:t>
      </w:r>
      <w:r>
        <w:rPr>
          <w:highlight w:val="none"/>
        </w:rPr>
        <w:t xml:space="preserve">7</w:t>
      </w:r>
      <w:r>
        <w:rPr>
          <w:highlight w:val="none"/>
        </w:rPr>
        <w:t xml:space="preserve">4 </w:t>
      </w:r>
      <w:r>
        <w:rPr>
          <w:highlight w:val="none"/>
        </w:rPr>
        <w:t xml:space="preserve">тыс. рублей.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rPr>
          <w:highlight w:val="none"/>
        </w:rPr>
      </w:pPr>
      <w:r>
        <w:rPr>
          <w:highlight w:val="none"/>
        </w:rPr>
        <w:t xml:space="preserve">Расчеты-обоснования планируемых затрат прилагаются (приложение).</w:t>
      </w:r>
      <w:r>
        <w:rPr>
          <w:highlight w:val="none"/>
        </w:rPr>
        <w:t xml:space="preserve"> </w:t>
      </w:r>
      <w:r>
        <w:rPr>
          <w:highlight w:val="none"/>
        </w:rPr>
        <w:t xml:space="preserve">Стоимость проезда и проживания представлен</w:t>
      </w:r>
      <w:r>
        <w:rPr>
          <w:highlight w:val="none"/>
        </w:rPr>
        <w:t xml:space="preserve">а с учетом уровня инфляции на 2026 го</w:t>
      </w:r>
      <w:r>
        <w:rPr>
          <w:highlight w:val="none"/>
        </w:rPr>
        <w:t xml:space="preserve">д</w:t>
      </w:r>
      <w:r>
        <w:rPr>
          <w:rStyle w:val="856"/>
          <w:highlight w:val="none"/>
        </w:rPr>
        <w:footnoteReference w:id="2"/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tabs>
          <w:tab w:val="left" w:pos="-2694" w:leader="none"/>
          <w:tab w:val="left" w:pos="-1560" w:leader="none"/>
        </w:tabs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  <w:t xml:space="preserve">Реализация законопроекта потребует </w:t>
      </w:r>
      <w:r>
        <w:rPr>
          <w:color w:val="000000" w:themeColor="text1"/>
          <w:highlight w:val="none"/>
        </w:rPr>
        <w:t xml:space="preserve">выделения</w:t>
      </w:r>
      <w:r>
        <w:rPr>
          <w:color w:val="000000" w:themeColor="text1"/>
          <w:highlight w:val="none"/>
        </w:rPr>
        <w:t xml:space="preserve"> </w:t>
      </w:r>
      <w:r>
        <w:rPr>
          <w:color w:val="000000" w:themeColor="text1"/>
          <w:highlight w:val="none"/>
        </w:rPr>
        <w:t xml:space="preserve">дополнительных </w:t>
      </w:r>
      <w:r>
        <w:rPr>
          <w:color w:val="000000" w:themeColor="text1"/>
          <w:highlight w:val="none"/>
        </w:rPr>
        <w:t xml:space="preserve">бюджетных </w:t>
      </w:r>
      <w:r>
        <w:rPr>
          <w:color w:val="000000" w:themeColor="text1"/>
          <w:highlight w:val="none"/>
        </w:rPr>
        <w:t xml:space="preserve">ассигнований </w:t>
      </w:r>
      <w:r>
        <w:rPr>
          <w:color w:val="000000" w:themeColor="text1"/>
          <w:highlight w:val="none"/>
        </w:rPr>
        <w:t xml:space="preserve">в размере </w:t>
      </w:r>
      <w:r>
        <w:rPr>
          <w:highlight w:val="none"/>
        </w:rPr>
        <w:t xml:space="preserve">514</w:t>
      </w:r>
      <w:r>
        <w:rPr>
          <w:highlight w:val="none"/>
        </w:rPr>
        <w:t xml:space="preserve">,</w:t>
      </w:r>
      <w:r>
        <w:rPr>
          <w:highlight w:val="none"/>
        </w:rPr>
        <w:t xml:space="preserve">7</w:t>
      </w:r>
      <w:r>
        <w:rPr>
          <w:color w:val="000000" w:themeColor="text1"/>
          <w:highlight w:val="none"/>
        </w:rPr>
        <w:t xml:space="preserve">4 тыс</w:t>
      </w:r>
      <w:r>
        <w:rPr>
          <w:color w:val="000000" w:themeColor="text1"/>
          <w:highlight w:val="none"/>
        </w:rPr>
        <w:t xml:space="preserve">. рублей ежегодно </w:t>
      </w:r>
      <w:r>
        <w:rPr>
          <w:color w:val="000000" w:themeColor="text1"/>
          <w:highlight w:val="none"/>
        </w:rPr>
        <w:t xml:space="preserve">в</w:t>
      </w:r>
      <w:r>
        <w:rPr>
          <w:color w:val="000000" w:themeColor="text1"/>
          <w:highlight w:val="none"/>
        </w:rPr>
        <w:t xml:space="preserve"> рамках</w:t>
      </w:r>
      <w:r>
        <w:rPr>
          <w:color w:val="000000" w:themeColor="text1"/>
          <w:highlight w:val="none"/>
        </w:rPr>
        <w:t xml:space="preserve"> </w:t>
      </w:r>
      <w:r>
        <w:rPr>
          <w:bCs/>
          <w:iCs/>
          <w:szCs w:val="28"/>
          <w:highlight w:val="none"/>
        </w:rPr>
        <w:t xml:space="preserve">полномочи</w:t>
      </w:r>
      <w:r>
        <w:rPr>
          <w:bCs/>
          <w:iCs/>
          <w:szCs w:val="28"/>
          <w:highlight w:val="none"/>
        </w:rPr>
        <w:t xml:space="preserve">я</w:t>
      </w:r>
      <w:r>
        <w:rPr>
          <w:bCs/>
          <w:iCs/>
          <w:szCs w:val="28"/>
          <w:highlight w:val="none"/>
        </w:rPr>
        <w:t xml:space="preserve">: </w:t>
      </w:r>
      <w:r>
        <w:rPr>
          <w:bCs/>
          <w:iCs/>
          <w:szCs w:val="28"/>
          <w:highlight w:val="none"/>
        </w:rPr>
        <w:t xml:space="preserve">«</w:t>
      </w:r>
      <w:r>
        <w:rPr>
          <w:szCs w:val="28"/>
          <w:highlight w:val="none"/>
        </w:rPr>
        <w:t xml:space="preserve">Организация и обеспечение деяте</w:t>
      </w:r>
      <w:r>
        <w:rPr>
          <w:szCs w:val="28"/>
          <w:highlight w:val="none"/>
        </w:rPr>
        <w:t xml:space="preserve">льности общественной палаты субъекта Российской Федерации</w:t>
      </w:r>
      <w:r>
        <w:rPr>
          <w:szCs w:val="28"/>
          <w:highlight w:val="none"/>
        </w:rPr>
        <w:t xml:space="preserve">»</w:t>
      </w:r>
      <w:r>
        <w:rPr>
          <w:color w:val="000000" w:themeColor="text1"/>
          <w:highlight w:val="none"/>
        </w:rPr>
        <w:t xml:space="preserve"> по новому</w:t>
      </w:r>
      <w:r>
        <w:rPr>
          <w:color w:val="000000" w:themeColor="text1"/>
          <w:highlight w:val="none"/>
        </w:rPr>
        <w:t xml:space="preserve"> </w:t>
      </w:r>
      <w:r>
        <w:rPr>
          <w:color w:val="000000" w:themeColor="text1"/>
          <w:highlight w:val="none"/>
        </w:rPr>
        <w:t xml:space="preserve">направлению расходов</w:t>
      </w:r>
      <w:r>
        <w:rPr>
          <w:color w:val="000000" w:themeColor="text1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Компенсация расходов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 член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ам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/>
          <w:color w:val="000000" w:themeColor="text1"/>
          <w:sz w:val="28"/>
          <w:szCs w:val="28"/>
          <w:highlight w:val="none"/>
        </w:rPr>
        <w:t xml:space="preserve">Общественной наблю</w:t>
      </w:r>
      <w:r>
        <w:rPr>
          <w:rFonts w:ascii="Times New Roman" w:hAnsi="Times New Roman" w:eastAsia="Times New Roman" w:cs="Times New Roman"/>
          <w:b w:val="0"/>
          <w:bCs/>
          <w:color w:val="000000" w:themeColor="text1"/>
          <w:sz w:val="28"/>
          <w:szCs w:val="28"/>
          <w:highlight w:val="none"/>
        </w:rPr>
        <w:t xml:space="preserve">дательной комиссии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/>
          <w:color w:val="000000" w:themeColor="text1"/>
          <w:sz w:val="28"/>
          <w:szCs w:val="28"/>
          <w:highlight w:val="none"/>
        </w:rPr>
        <w:t xml:space="preserve">Новоси</w:t>
      </w:r>
      <w:r>
        <w:rPr>
          <w:rFonts w:ascii="Times New Roman" w:hAnsi="Times New Roman" w:eastAsia="Times New Roman" w:cs="Times New Roman"/>
          <w:b w:val="0"/>
          <w:bCs/>
          <w:color w:val="000000" w:themeColor="text1"/>
          <w:sz w:val="28"/>
          <w:szCs w:val="28"/>
          <w:highlight w:val="none"/>
        </w:rPr>
        <w:t xml:space="preserve">бирской области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 в мероприятиях по общественному контролю 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местах принудительного содержания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(16.3.02.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0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ХХХХ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)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по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вид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у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 расходов 113 «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none"/>
        </w:rPr>
        <w:t xml:space="preserve">Иные выплаты учреждений привлекаемым лицам»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871"/>
        <w:ind w:firstLine="709"/>
        <w:jc w:val="both"/>
        <w:rPr>
          <w:highlight w:val="none"/>
        </w:rPr>
      </w:pPr>
      <w:r>
        <w:rPr>
          <w:szCs w:val="28"/>
          <w:highlight w:val="none"/>
        </w:rPr>
        <w:t xml:space="preserve">Выпадающие доходы областного бюджета Новосибирской области при реализации закона отсутствуют.</w:t>
      </w:r>
      <w:r>
        <w:rPr>
          <w:highlight w:val="none"/>
        </w:rPr>
      </w:r>
      <w:r>
        <w:rPr>
          <w:highlight w:val="none"/>
        </w:rPr>
      </w:r>
    </w:p>
    <w:p>
      <w:pPr>
        <w:pStyle w:val="871"/>
        <w:ind w:firstLine="709"/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871"/>
        <w:ind w:firstLine="709"/>
        <w:jc w:val="both"/>
        <w:rPr>
          <w:highlight w:val="none"/>
        </w:rPr>
      </w:pPr>
      <w:r>
        <w:rPr>
          <w:highlight w:val="none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567" w:bottom="851" w:left="1418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854"/>
      </w:pPr>
      <w:r>
        <w:rPr>
          <w:rStyle w:val="856"/>
        </w:rPr>
        <w:footnoteRef/>
      </w:r>
      <w:r>
        <w:t xml:space="preserve"> </w:t>
      </w:r>
      <w:r>
        <w:t xml:space="preserve">Федеральный закон от 28.11.2025 № 426-ФЗ «О федеральном бюджете на 2026 год и на плановый период 2027 и 2028 годов».</w:t>
      </w: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7"/>
      <w:jc w:val="center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PAGE   \* MERGEFORMAT</w:instrText>
    </w:r>
    <w:r>
      <w:rPr>
        <w:sz w:val="20"/>
      </w:rPr>
      <w:fldChar w:fldCharType="separate"/>
    </w:r>
    <w:r>
      <w:rPr>
        <w:sz w:val="20"/>
      </w:rPr>
      <w:t xml:space="preserve">2</w:t>
    </w:r>
    <w:r>
      <w:rPr>
        <w:sz w:val="20"/>
      </w:rPr>
      <w:fldChar w:fldCharType="end"/>
    </w:r>
    <w:r>
      <w:rPr>
        <w:sz w:val="20"/>
      </w:rPr>
    </w:r>
    <w:r>
      <w:rPr>
        <w:sz w:val="20"/>
      </w:rPr>
    </w:r>
  </w:p>
  <w:p>
    <w:pPr>
      <w:pStyle w:val="87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55" w:hanging="495"/>
        <w:tabs>
          <w:tab w:val="num" w:pos="85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5" w:hanging="405"/>
        <w:tabs>
          <w:tab w:val="num" w:pos="405" w:leader="none"/>
        </w:tabs>
      </w:pPr>
    </w:lvl>
    <w:lvl w:ilvl="1">
      <w:start w:val="0"/>
      <w:numFmt w:val="decimal"/>
      <w:isLgl w:val="false"/>
      <w:suff w:val="tab"/>
      <w:lvlText w:val=""/>
      <w:lvlJc w:val="left"/>
      <w:pPr/>
    </w:lvl>
    <w:lvl w:ilvl="2">
      <w:start w:val="0"/>
      <w:numFmt w:val="decimal"/>
      <w:isLgl w:val="false"/>
      <w:suff w:val="tab"/>
      <w:lvlText w:val=""/>
      <w:lvlJc w:val="left"/>
      <w:pPr/>
    </w:lvl>
    <w:lvl w:ilvl="3">
      <w:start w:val="0"/>
      <w:numFmt w:val="decimal"/>
      <w:isLgl w:val="false"/>
      <w:suff w:val="tab"/>
      <w:lvlText w:val=""/>
      <w:lvlJc w:val="left"/>
      <w:pPr/>
    </w:lvl>
    <w:lvl w:ilvl="4">
      <w:start w:val="0"/>
      <w:numFmt w:val="decimal"/>
      <w:isLgl w:val="false"/>
      <w:suff w:val="tab"/>
      <w:lvlText w:val=""/>
      <w:lvlJc w:val="left"/>
      <w:pPr/>
    </w:lvl>
    <w:lvl w:ilvl="5">
      <w:start w:val="0"/>
      <w:numFmt w:val="decimal"/>
      <w:isLgl w:val="false"/>
      <w:suff w:val="tab"/>
      <w:lvlText w:val=""/>
      <w:lvlJc w:val="left"/>
      <w:pPr/>
    </w:lvl>
    <w:lvl w:ilvl="6">
      <w:start w:val="0"/>
      <w:numFmt w:val="decimal"/>
      <w:isLgl w:val="false"/>
      <w:suff w:val="tab"/>
      <w:lvlText w:val=""/>
      <w:lvlJc w:val="left"/>
      <w:pPr/>
    </w:lvl>
    <w:lvl w:ilvl="7">
      <w:start w:val="0"/>
      <w:numFmt w:val="decimal"/>
      <w:isLgl w:val="false"/>
      <w:suff w:val="tab"/>
      <w:lvlText w:val=""/>
      <w:lvlJc w:val="left"/>
      <w:pPr/>
    </w:lvl>
    <w:lvl w:ilvl="8">
      <w:start w:val="0"/>
      <w:numFmt w:val="decimal"/>
      <w:isLgl w:val="false"/>
      <w:suff w:val="tab"/>
      <w:lvlText w:val=""/>
      <w:lvlJc w:val="left"/>
      <w:pPr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3">
    <w:name w:val="Heading 1"/>
    <w:basedOn w:val="871"/>
    <w:next w:val="871"/>
    <w:link w:val="69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4">
    <w:name w:val="Heading 1 Char"/>
    <w:link w:val="693"/>
    <w:uiPriority w:val="9"/>
    <w:rPr>
      <w:rFonts w:ascii="Arial" w:hAnsi="Arial" w:eastAsia="Arial" w:cs="Arial"/>
      <w:sz w:val="40"/>
      <w:szCs w:val="40"/>
    </w:rPr>
  </w:style>
  <w:style w:type="paragraph" w:styleId="695">
    <w:name w:val="Heading 2"/>
    <w:basedOn w:val="871"/>
    <w:next w:val="871"/>
    <w:link w:val="69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6">
    <w:name w:val="Heading 2 Char"/>
    <w:link w:val="695"/>
    <w:uiPriority w:val="9"/>
    <w:rPr>
      <w:rFonts w:ascii="Arial" w:hAnsi="Arial" w:eastAsia="Arial" w:cs="Arial"/>
      <w:sz w:val="34"/>
    </w:rPr>
  </w:style>
  <w:style w:type="paragraph" w:styleId="697">
    <w:name w:val="Heading 3"/>
    <w:basedOn w:val="871"/>
    <w:next w:val="871"/>
    <w:link w:val="69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8">
    <w:name w:val="Heading 3 Char"/>
    <w:link w:val="697"/>
    <w:uiPriority w:val="9"/>
    <w:rPr>
      <w:rFonts w:ascii="Arial" w:hAnsi="Arial" w:eastAsia="Arial" w:cs="Arial"/>
      <w:sz w:val="30"/>
      <w:szCs w:val="30"/>
    </w:rPr>
  </w:style>
  <w:style w:type="paragraph" w:styleId="699">
    <w:name w:val="Heading 4"/>
    <w:basedOn w:val="871"/>
    <w:next w:val="871"/>
    <w:link w:val="70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0">
    <w:name w:val="Heading 4 Char"/>
    <w:link w:val="699"/>
    <w:uiPriority w:val="9"/>
    <w:rPr>
      <w:rFonts w:ascii="Arial" w:hAnsi="Arial" w:eastAsia="Arial" w:cs="Arial"/>
      <w:b/>
      <w:bCs/>
      <w:sz w:val="26"/>
      <w:szCs w:val="26"/>
    </w:rPr>
  </w:style>
  <w:style w:type="paragraph" w:styleId="701">
    <w:name w:val="Heading 5"/>
    <w:basedOn w:val="871"/>
    <w:next w:val="871"/>
    <w:link w:val="70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2">
    <w:name w:val="Heading 5 Char"/>
    <w:link w:val="701"/>
    <w:uiPriority w:val="9"/>
    <w:rPr>
      <w:rFonts w:ascii="Arial" w:hAnsi="Arial" w:eastAsia="Arial" w:cs="Arial"/>
      <w:b/>
      <w:bCs/>
      <w:sz w:val="24"/>
      <w:szCs w:val="24"/>
    </w:rPr>
  </w:style>
  <w:style w:type="paragraph" w:styleId="703">
    <w:name w:val="Heading 6"/>
    <w:basedOn w:val="871"/>
    <w:next w:val="871"/>
    <w:link w:val="70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4">
    <w:name w:val="Heading 6 Char"/>
    <w:link w:val="703"/>
    <w:uiPriority w:val="9"/>
    <w:rPr>
      <w:rFonts w:ascii="Arial" w:hAnsi="Arial" w:eastAsia="Arial" w:cs="Arial"/>
      <w:b/>
      <w:bCs/>
      <w:sz w:val="22"/>
      <w:szCs w:val="22"/>
    </w:rPr>
  </w:style>
  <w:style w:type="paragraph" w:styleId="705">
    <w:name w:val="Heading 7"/>
    <w:basedOn w:val="871"/>
    <w:next w:val="871"/>
    <w:link w:val="70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6">
    <w:name w:val="Heading 7 Char"/>
    <w:link w:val="70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7">
    <w:name w:val="Heading 8"/>
    <w:basedOn w:val="871"/>
    <w:next w:val="871"/>
    <w:link w:val="70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8">
    <w:name w:val="Heading 8 Char"/>
    <w:link w:val="707"/>
    <w:uiPriority w:val="9"/>
    <w:rPr>
      <w:rFonts w:ascii="Arial" w:hAnsi="Arial" w:eastAsia="Arial" w:cs="Arial"/>
      <w:i/>
      <w:iCs/>
      <w:sz w:val="22"/>
      <w:szCs w:val="22"/>
    </w:rPr>
  </w:style>
  <w:style w:type="paragraph" w:styleId="709">
    <w:name w:val="Heading 9"/>
    <w:basedOn w:val="871"/>
    <w:next w:val="871"/>
    <w:link w:val="71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0">
    <w:name w:val="Heading 9 Char"/>
    <w:link w:val="709"/>
    <w:uiPriority w:val="9"/>
    <w:rPr>
      <w:rFonts w:ascii="Arial" w:hAnsi="Arial" w:eastAsia="Arial" w:cs="Arial"/>
      <w:i/>
      <w:iCs/>
      <w:sz w:val="21"/>
      <w:szCs w:val="21"/>
    </w:rPr>
  </w:style>
  <w:style w:type="paragraph" w:styleId="711">
    <w:name w:val="List Paragraph"/>
    <w:basedOn w:val="871"/>
    <w:uiPriority w:val="34"/>
    <w:qFormat/>
    <w:pPr>
      <w:contextualSpacing/>
      <w:ind w:left="720"/>
    </w:pPr>
  </w:style>
  <w:style w:type="paragraph" w:styleId="712">
    <w:name w:val="No Spacing"/>
    <w:uiPriority w:val="1"/>
    <w:qFormat/>
    <w:pPr>
      <w:spacing w:before="0" w:after="0" w:line="240" w:lineRule="auto"/>
    </w:pPr>
  </w:style>
  <w:style w:type="paragraph" w:styleId="713">
    <w:name w:val="Title"/>
    <w:basedOn w:val="871"/>
    <w:next w:val="871"/>
    <w:link w:val="71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4">
    <w:name w:val="Title Char"/>
    <w:link w:val="713"/>
    <w:uiPriority w:val="10"/>
    <w:rPr>
      <w:sz w:val="48"/>
      <w:szCs w:val="48"/>
    </w:rPr>
  </w:style>
  <w:style w:type="paragraph" w:styleId="715">
    <w:name w:val="Subtitle"/>
    <w:basedOn w:val="871"/>
    <w:next w:val="871"/>
    <w:link w:val="716"/>
    <w:uiPriority w:val="11"/>
    <w:qFormat/>
    <w:pPr>
      <w:spacing w:before="200" w:after="200"/>
    </w:pPr>
    <w:rPr>
      <w:sz w:val="24"/>
      <w:szCs w:val="24"/>
    </w:rPr>
  </w:style>
  <w:style w:type="character" w:styleId="716">
    <w:name w:val="Subtitle Char"/>
    <w:link w:val="715"/>
    <w:uiPriority w:val="11"/>
    <w:rPr>
      <w:sz w:val="24"/>
      <w:szCs w:val="24"/>
    </w:rPr>
  </w:style>
  <w:style w:type="paragraph" w:styleId="717">
    <w:name w:val="Quote"/>
    <w:basedOn w:val="871"/>
    <w:next w:val="871"/>
    <w:link w:val="718"/>
    <w:uiPriority w:val="29"/>
    <w:qFormat/>
    <w:pPr>
      <w:ind w:left="720" w:right="720"/>
    </w:pPr>
    <w:rPr>
      <w:i/>
    </w:rPr>
  </w:style>
  <w:style w:type="character" w:styleId="718">
    <w:name w:val="Quote Char"/>
    <w:link w:val="717"/>
    <w:uiPriority w:val="29"/>
    <w:rPr>
      <w:i/>
    </w:rPr>
  </w:style>
  <w:style w:type="paragraph" w:styleId="719">
    <w:name w:val="Intense Quote"/>
    <w:basedOn w:val="871"/>
    <w:next w:val="871"/>
    <w:link w:val="72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0">
    <w:name w:val="Intense Quote Char"/>
    <w:link w:val="719"/>
    <w:uiPriority w:val="30"/>
    <w:rPr>
      <w:i/>
    </w:rPr>
  </w:style>
  <w:style w:type="paragraph" w:styleId="721">
    <w:name w:val="Header"/>
    <w:basedOn w:val="871"/>
    <w:link w:val="72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2">
    <w:name w:val="Header Char"/>
    <w:link w:val="721"/>
    <w:uiPriority w:val="99"/>
  </w:style>
  <w:style w:type="paragraph" w:styleId="723">
    <w:name w:val="Footer"/>
    <w:basedOn w:val="871"/>
    <w:link w:val="72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4">
    <w:name w:val="Footer Char"/>
    <w:link w:val="723"/>
    <w:uiPriority w:val="99"/>
  </w:style>
  <w:style w:type="paragraph" w:styleId="725">
    <w:name w:val="Caption"/>
    <w:basedOn w:val="871"/>
    <w:next w:val="87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6">
    <w:name w:val="Caption Char"/>
    <w:basedOn w:val="725"/>
    <w:link w:val="723"/>
    <w:uiPriority w:val="99"/>
  </w:style>
  <w:style w:type="table" w:styleId="727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8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9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0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1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2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4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6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7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8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9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0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1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2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9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6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1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2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3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4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5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6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7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5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6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7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8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9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0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1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2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3">
    <w:name w:val="Hyperlink"/>
    <w:uiPriority w:val="99"/>
    <w:unhideWhenUsed/>
    <w:rPr>
      <w:color w:val="0000ff" w:themeColor="hyperlink"/>
      <w:u w:val="single"/>
    </w:rPr>
  </w:style>
  <w:style w:type="paragraph" w:styleId="854">
    <w:name w:val="footnote text"/>
    <w:basedOn w:val="871"/>
    <w:link w:val="855"/>
    <w:uiPriority w:val="99"/>
    <w:semiHidden/>
    <w:unhideWhenUsed/>
    <w:pPr>
      <w:spacing w:after="40" w:line="240" w:lineRule="auto"/>
    </w:pPr>
    <w:rPr>
      <w:sz w:val="18"/>
    </w:rPr>
  </w:style>
  <w:style w:type="character" w:styleId="855">
    <w:name w:val="Footnote Text Char"/>
    <w:link w:val="854"/>
    <w:uiPriority w:val="99"/>
    <w:rPr>
      <w:sz w:val="18"/>
    </w:rPr>
  </w:style>
  <w:style w:type="character" w:styleId="856">
    <w:name w:val="footnote reference"/>
    <w:uiPriority w:val="99"/>
    <w:unhideWhenUsed/>
    <w:rPr>
      <w:vertAlign w:val="superscript"/>
    </w:rPr>
  </w:style>
  <w:style w:type="paragraph" w:styleId="857">
    <w:name w:val="endnote text"/>
    <w:basedOn w:val="871"/>
    <w:link w:val="858"/>
    <w:uiPriority w:val="99"/>
    <w:semiHidden/>
    <w:unhideWhenUsed/>
    <w:pPr>
      <w:spacing w:after="0" w:line="240" w:lineRule="auto"/>
    </w:pPr>
    <w:rPr>
      <w:sz w:val="20"/>
    </w:rPr>
  </w:style>
  <w:style w:type="character" w:styleId="858">
    <w:name w:val="Endnote Text Char"/>
    <w:link w:val="857"/>
    <w:uiPriority w:val="99"/>
    <w:rPr>
      <w:sz w:val="20"/>
    </w:rPr>
  </w:style>
  <w:style w:type="character" w:styleId="859">
    <w:name w:val="endnote reference"/>
    <w:uiPriority w:val="99"/>
    <w:semiHidden/>
    <w:unhideWhenUsed/>
    <w:rPr>
      <w:vertAlign w:val="superscript"/>
    </w:rPr>
  </w:style>
  <w:style w:type="paragraph" w:styleId="860">
    <w:name w:val="toc 1"/>
    <w:basedOn w:val="871"/>
    <w:next w:val="871"/>
    <w:uiPriority w:val="39"/>
    <w:unhideWhenUsed/>
    <w:pPr>
      <w:ind w:left="0" w:right="0" w:firstLine="0"/>
      <w:spacing w:after="57"/>
    </w:pPr>
  </w:style>
  <w:style w:type="paragraph" w:styleId="861">
    <w:name w:val="toc 2"/>
    <w:basedOn w:val="871"/>
    <w:next w:val="871"/>
    <w:uiPriority w:val="39"/>
    <w:unhideWhenUsed/>
    <w:pPr>
      <w:ind w:left="283" w:right="0" w:firstLine="0"/>
      <w:spacing w:after="57"/>
    </w:pPr>
  </w:style>
  <w:style w:type="paragraph" w:styleId="862">
    <w:name w:val="toc 3"/>
    <w:basedOn w:val="871"/>
    <w:next w:val="871"/>
    <w:uiPriority w:val="39"/>
    <w:unhideWhenUsed/>
    <w:pPr>
      <w:ind w:left="567" w:right="0" w:firstLine="0"/>
      <w:spacing w:after="57"/>
    </w:pPr>
  </w:style>
  <w:style w:type="paragraph" w:styleId="863">
    <w:name w:val="toc 4"/>
    <w:basedOn w:val="871"/>
    <w:next w:val="871"/>
    <w:uiPriority w:val="39"/>
    <w:unhideWhenUsed/>
    <w:pPr>
      <w:ind w:left="850" w:right="0" w:firstLine="0"/>
      <w:spacing w:after="57"/>
    </w:pPr>
  </w:style>
  <w:style w:type="paragraph" w:styleId="864">
    <w:name w:val="toc 5"/>
    <w:basedOn w:val="871"/>
    <w:next w:val="871"/>
    <w:uiPriority w:val="39"/>
    <w:unhideWhenUsed/>
    <w:pPr>
      <w:ind w:left="1134" w:right="0" w:firstLine="0"/>
      <w:spacing w:after="57"/>
    </w:pPr>
  </w:style>
  <w:style w:type="paragraph" w:styleId="865">
    <w:name w:val="toc 6"/>
    <w:basedOn w:val="871"/>
    <w:next w:val="871"/>
    <w:uiPriority w:val="39"/>
    <w:unhideWhenUsed/>
    <w:pPr>
      <w:ind w:left="1417" w:right="0" w:firstLine="0"/>
      <w:spacing w:after="57"/>
    </w:pPr>
  </w:style>
  <w:style w:type="paragraph" w:styleId="866">
    <w:name w:val="toc 7"/>
    <w:basedOn w:val="871"/>
    <w:next w:val="871"/>
    <w:uiPriority w:val="39"/>
    <w:unhideWhenUsed/>
    <w:pPr>
      <w:ind w:left="1701" w:right="0" w:firstLine="0"/>
      <w:spacing w:after="57"/>
    </w:pPr>
  </w:style>
  <w:style w:type="paragraph" w:styleId="867">
    <w:name w:val="toc 8"/>
    <w:basedOn w:val="871"/>
    <w:next w:val="871"/>
    <w:uiPriority w:val="39"/>
    <w:unhideWhenUsed/>
    <w:pPr>
      <w:ind w:left="1984" w:right="0" w:firstLine="0"/>
      <w:spacing w:after="57"/>
    </w:pPr>
  </w:style>
  <w:style w:type="paragraph" w:styleId="868">
    <w:name w:val="toc 9"/>
    <w:basedOn w:val="871"/>
    <w:next w:val="871"/>
    <w:uiPriority w:val="39"/>
    <w:unhideWhenUsed/>
    <w:pPr>
      <w:ind w:left="2268" w:right="0" w:firstLine="0"/>
      <w:spacing w:after="57"/>
    </w:pPr>
  </w:style>
  <w:style w:type="paragraph" w:styleId="869">
    <w:name w:val="TOC Heading"/>
    <w:uiPriority w:val="39"/>
    <w:unhideWhenUsed/>
  </w:style>
  <w:style w:type="paragraph" w:styleId="870">
    <w:name w:val="table of figures"/>
    <w:basedOn w:val="871"/>
    <w:next w:val="871"/>
    <w:uiPriority w:val="99"/>
    <w:unhideWhenUsed/>
    <w:pPr>
      <w:spacing w:after="0" w:afterAutospacing="0"/>
    </w:pPr>
  </w:style>
  <w:style w:type="paragraph" w:styleId="871" w:default="1">
    <w:name w:val="Normal"/>
    <w:next w:val="871"/>
    <w:link w:val="871"/>
    <w:qFormat/>
    <w:rPr>
      <w:sz w:val="28"/>
      <w:lang w:val="ru-RU" w:eastAsia="ru-RU" w:bidi="ar-SA"/>
    </w:rPr>
  </w:style>
  <w:style w:type="character" w:styleId="872">
    <w:name w:val="Основной шрифт абзаца"/>
    <w:next w:val="872"/>
    <w:link w:val="871"/>
    <w:uiPriority w:val="1"/>
    <w:semiHidden/>
    <w:unhideWhenUsed/>
  </w:style>
  <w:style w:type="table" w:styleId="873">
    <w:name w:val="Обычная таблица"/>
    <w:next w:val="873"/>
    <w:link w:val="871"/>
    <w:uiPriority w:val="99"/>
    <w:semiHidden/>
    <w:unhideWhenUsed/>
    <w:tblPr/>
  </w:style>
  <w:style w:type="numbering" w:styleId="874">
    <w:name w:val="Нет списка"/>
    <w:next w:val="874"/>
    <w:link w:val="871"/>
    <w:uiPriority w:val="99"/>
    <w:semiHidden/>
    <w:unhideWhenUsed/>
  </w:style>
  <w:style w:type="paragraph" w:styleId="875">
    <w:name w:val="Основной текст"/>
    <w:basedOn w:val="871"/>
    <w:next w:val="875"/>
    <w:link w:val="871"/>
    <w:pPr>
      <w:jc w:val="center"/>
    </w:pPr>
  </w:style>
  <w:style w:type="paragraph" w:styleId="876">
    <w:name w:val="Название"/>
    <w:basedOn w:val="871"/>
    <w:next w:val="876"/>
    <w:link w:val="871"/>
    <w:qFormat/>
    <w:pPr>
      <w:jc w:val="center"/>
    </w:pPr>
    <w:rPr>
      <w:b/>
    </w:rPr>
  </w:style>
  <w:style w:type="paragraph" w:styleId="877">
    <w:name w:val="Верхний колонтитул"/>
    <w:basedOn w:val="871"/>
    <w:next w:val="877"/>
    <w:link w:val="878"/>
    <w:uiPriority w:val="99"/>
    <w:pPr>
      <w:tabs>
        <w:tab w:val="center" w:pos="4153" w:leader="none"/>
        <w:tab w:val="right" w:pos="8306" w:leader="none"/>
      </w:tabs>
    </w:pPr>
  </w:style>
  <w:style w:type="character" w:styleId="878">
    <w:name w:val="Верхний колонтитул Знак"/>
    <w:next w:val="878"/>
    <w:link w:val="877"/>
    <w:uiPriority w:val="99"/>
    <w:rPr>
      <w:sz w:val="28"/>
    </w:rPr>
  </w:style>
  <w:style w:type="paragraph" w:styleId="879">
    <w:name w:val="Текст выноски"/>
    <w:basedOn w:val="871"/>
    <w:next w:val="879"/>
    <w:link w:val="880"/>
    <w:rPr>
      <w:rFonts w:ascii="Tahoma" w:hAnsi="Tahoma" w:cs="Tahoma"/>
      <w:sz w:val="16"/>
      <w:szCs w:val="16"/>
    </w:rPr>
  </w:style>
  <w:style w:type="character" w:styleId="880">
    <w:name w:val="Текст выноски Знак"/>
    <w:next w:val="880"/>
    <w:link w:val="879"/>
    <w:rPr>
      <w:rFonts w:ascii="Tahoma" w:hAnsi="Tahoma" w:cs="Tahoma"/>
      <w:sz w:val="16"/>
      <w:szCs w:val="16"/>
    </w:rPr>
  </w:style>
  <w:style w:type="character" w:styleId="881">
    <w:name w:val="Знак примечания"/>
    <w:next w:val="881"/>
    <w:link w:val="871"/>
    <w:rPr>
      <w:sz w:val="16"/>
      <w:szCs w:val="16"/>
    </w:rPr>
  </w:style>
  <w:style w:type="paragraph" w:styleId="882">
    <w:name w:val="Текст примечания"/>
    <w:basedOn w:val="871"/>
    <w:next w:val="882"/>
    <w:link w:val="883"/>
    <w:rPr>
      <w:sz w:val="20"/>
    </w:rPr>
  </w:style>
  <w:style w:type="character" w:styleId="883">
    <w:name w:val="Текст примечания Знак"/>
    <w:basedOn w:val="872"/>
    <w:next w:val="883"/>
    <w:link w:val="882"/>
  </w:style>
  <w:style w:type="paragraph" w:styleId="884">
    <w:name w:val="Тема примечания"/>
    <w:basedOn w:val="882"/>
    <w:next w:val="882"/>
    <w:link w:val="885"/>
    <w:rPr>
      <w:b/>
      <w:bCs/>
    </w:rPr>
  </w:style>
  <w:style w:type="character" w:styleId="885">
    <w:name w:val="Тема примечания Знак"/>
    <w:next w:val="885"/>
    <w:link w:val="884"/>
    <w:rPr>
      <w:b/>
      <w:bCs/>
    </w:rPr>
  </w:style>
  <w:style w:type="paragraph" w:styleId="886">
    <w:name w:val="ConsPlusTitle"/>
    <w:next w:val="886"/>
    <w:link w:val="871"/>
    <w:pPr>
      <w:widowControl w:val="off"/>
    </w:pPr>
    <w:rPr>
      <w:rFonts w:ascii="Calibri" w:hAnsi="Calibri" w:cs="Calibri"/>
      <w:b/>
      <w:sz w:val="22"/>
      <w:lang w:val="ru-RU" w:eastAsia="ru-RU" w:bidi="ar-SA"/>
    </w:rPr>
  </w:style>
  <w:style w:type="paragraph" w:styleId="887">
    <w:name w:val="Нижний колонтитул"/>
    <w:basedOn w:val="871"/>
    <w:next w:val="887"/>
    <w:link w:val="888"/>
    <w:pPr>
      <w:tabs>
        <w:tab w:val="center" w:pos="4677" w:leader="none"/>
        <w:tab w:val="right" w:pos="9355" w:leader="none"/>
      </w:tabs>
    </w:pPr>
  </w:style>
  <w:style w:type="character" w:styleId="888">
    <w:name w:val="Нижний колонтитул Знак"/>
    <w:next w:val="888"/>
    <w:link w:val="887"/>
    <w:rPr>
      <w:sz w:val="28"/>
    </w:rPr>
  </w:style>
  <w:style w:type="character" w:styleId="889">
    <w:name w:val="docdata;docy;v5;3473;bqiaagaaeyqcaaagiaiaaanydqaabwynaaaaaaaaaaaaaaaaaaaaaaaaaaaaaaaaaaaaaaaaaaaaaaaaaaaaaaaaaaaaaaaaaaaaaaaaaaaaaaaaaaaaaaaaaaaaaaaaaaaaaaaaaaaaaaaaaaaaaaaaaaaaaaaaaaaaaaaaaaaaaaaaaaaaaaaaaaaaaaaaaaaaaaaaaaaaaaaaaaaaaaaaaaaaaaaaaaaaaaaa"/>
    <w:next w:val="889"/>
    <w:link w:val="871"/>
  </w:style>
  <w:style w:type="character" w:styleId="890">
    <w:name w:val="Гиперссылка"/>
    <w:next w:val="890"/>
    <w:link w:val="871"/>
    <w:rPr>
      <w:rFonts w:cs="Times New Roman"/>
      <w:color w:val="0000ff"/>
      <w:u w:val="single"/>
    </w:rPr>
  </w:style>
  <w:style w:type="character" w:styleId="891" w:default="1">
    <w:name w:val="Default Paragraph Font"/>
    <w:uiPriority w:val="1"/>
    <w:semiHidden/>
    <w:unhideWhenUsed/>
  </w:style>
  <w:style w:type="numbering" w:styleId="892" w:default="1">
    <w:name w:val="No List"/>
    <w:uiPriority w:val="99"/>
    <w:semiHidden/>
    <w:unhideWhenUsed/>
  </w:style>
  <w:style w:type="table" w:styleId="89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PNO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revision>17</cp:revision>
  <dcterms:created xsi:type="dcterms:W3CDTF">2024-09-30T09:04:00Z</dcterms:created>
  <dcterms:modified xsi:type="dcterms:W3CDTF">2026-04-07T07:00:52Z</dcterms:modified>
  <cp:version>1048576</cp:version>
</cp:coreProperties>
</file>